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A318A" w14:textId="77777777" w:rsidR="0044528B" w:rsidRPr="00F33697" w:rsidRDefault="00B24202" w:rsidP="002A5D69">
      <w:pPr>
        <w:pStyle w:val="ListParagraph"/>
        <w:numPr>
          <w:ilvl w:val="0"/>
          <w:numId w:val="1"/>
        </w:numPr>
        <w:tabs>
          <w:tab w:val="left" w:pos="426"/>
        </w:tabs>
        <w:spacing w:before="240"/>
        <w:ind w:left="431" w:right="45" w:hanging="431"/>
        <w:jc w:val="both"/>
      </w:pPr>
      <w:r w:rsidRPr="00F33697">
        <w:rPr>
          <w:spacing w:val="-2"/>
          <w:w w:val="105"/>
        </w:rPr>
        <w:t>The</w:t>
      </w:r>
      <w:r w:rsidRPr="00F33697">
        <w:rPr>
          <w:spacing w:val="-6"/>
          <w:w w:val="105"/>
        </w:rPr>
        <w:t xml:space="preserve"> </w:t>
      </w:r>
      <w:r w:rsidRPr="00F33697">
        <w:rPr>
          <w:spacing w:val="-2"/>
          <w:w w:val="105"/>
        </w:rPr>
        <w:t>Royal Commission</w:t>
      </w:r>
      <w:r w:rsidRPr="00F33697">
        <w:rPr>
          <w:spacing w:val="-3"/>
          <w:w w:val="105"/>
        </w:rPr>
        <w:t xml:space="preserve"> </w:t>
      </w:r>
      <w:r w:rsidRPr="00F33697">
        <w:rPr>
          <w:spacing w:val="-2"/>
          <w:w w:val="105"/>
        </w:rPr>
        <w:t>into</w:t>
      </w:r>
      <w:r w:rsidRPr="00F33697">
        <w:rPr>
          <w:spacing w:val="-6"/>
          <w:w w:val="105"/>
        </w:rPr>
        <w:t xml:space="preserve"> </w:t>
      </w:r>
      <w:r w:rsidRPr="00F33697">
        <w:rPr>
          <w:spacing w:val="-2"/>
          <w:w w:val="105"/>
        </w:rPr>
        <w:t>Institutional Responses</w:t>
      </w:r>
      <w:r w:rsidRPr="00F33697">
        <w:rPr>
          <w:spacing w:val="-3"/>
          <w:w w:val="105"/>
        </w:rPr>
        <w:t xml:space="preserve"> </w:t>
      </w:r>
      <w:r w:rsidRPr="00F33697">
        <w:rPr>
          <w:spacing w:val="-2"/>
          <w:w w:val="105"/>
        </w:rPr>
        <w:t>to</w:t>
      </w:r>
      <w:r w:rsidRPr="00F33697">
        <w:rPr>
          <w:spacing w:val="-4"/>
          <w:w w:val="105"/>
        </w:rPr>
        <w:t xml:space="preserve"> </w:t>
      </w:r>
      <w:r w:rsidRPr="00F33697">
        <w:rPr>
          <w:spacing w:val="-2"/>
          <w:w w:val="105"/>
        </w:rPr>
        <w:t>Child Sexual Abuse</w:t>
      </w:r>
      <w:r w:rsidRPr="00F33697">
        <w:rPr>
          <w:spacing w:val="-6"/>
          <w:w w:val="105"/>
        </w:rPr>
        <w:t xml:space="preserve"> </w:t>
      </w:r>
      <w:r w:rsidRPr="00F33697">
        <w:rPr>
          <w:spacing w:val="-2"/>
          <w:w w:val="105"/>
        </w:rPr>
        <w:t>(Royal</w:t>
      </w:r>
      <w:r w:rsidRPr="00F33697">
        <w:rPr>
          <w:spacing w:val="-4"/>
          <w:w w:val="105"/>
        </w:rPr>
        <w:t xml:space="preserve"> </w:t>
      </w:r>
      <w:r w:rsidRPr="00F33697">
        <w:rPr>
          <w:spacing w:val="-2"/>
          <w:w w:val="105"/>
        </w:rPr>
        <w:t xml:space="preserve">Commission) </w:t>
      </w:r>
      <w:r w:rsidRPr="00F33697">
        <w:rPr>
          <w:spacing w:val="-2"/>
        </w:rPr>
        <w:t>recommended</w:t>
      </w:r>
      <w:r w:rsidRPr="00F33697">
        <w:rPr>
          <w:spacing w:val="-6"/>
        </w:rPr>
        <w:t xml:space="preserve"> </w:t>
      </w:r>
      <w:r w:rsidRPr="00F33697">
        <w:rPr>
          <w:spacing w:val="-2"/>
        </w:rPr>
        <w:t>that</w:t>
      </w:r>
      <w:r w:rsidRPr="00F33697">
        <w:rPr>
          <w:spacing w:val="-3"/>
        </w:rPr>
        <w:t xml:space="preserve"> </w:t>
      </w:r>
      <w:r w:rsidRPr="00F33697">
        <w:rPr>
          <w:spacing w:val="-2"/>
        </w:rPr>
        <w:t>state</w:t>
      </w:r>
      <w:r w:rsidRPr="00F33697">
        <w:rPr>
          <w:spacing w:val="-3"/>
        </w:rPr>
        <w:t xml:space="preserve"> </w:t>
      </w:r>
      <w:r w:rsidRPr="00F33697">
        <w:rPr>
          <w:spacing w:val="-2"/>
        </w:rPr>
        <w:t>and</w:t>
      </w:r>
      <w:r w:rsidRPr="00F33697">
        <w:rPr>
          <w:spacing w:val="-6"/>
        </w:rPr>
        <w:t xml:space="preserve"> </w:t>
      </w:r>
      <w:r w:rsidRPr="00F33697">
        <w:rPr>
          <w:spacing w:val="-2"/>
        </w:rPr>
        <w:t>territory</w:t>
      </w:r>
      <w:r w:rsidRPr="00F33697">
        <w:rPr>
          <w:spacing w:val="-7"/>
        </w:rPr>
        <w:t xml:space="preserve"> </w:t>
      </w:r>
      <w:r w:rsidRPr="00F33697">
        <w:rPr>
          <w:spacing w:val="-2"/>
        </w:rPr>
        <w:t>governments establish</w:t>
      </w:r>
      <w:r w:rsidRPr="00F33697">
        <w:rPr>
          <w:spacing w:val="-6"/>
        </w:rPr>
        <w:t xml:space="preserve"> </w:t>
      </w:r>
      <w:r w:rsidRPr="00F33697">
        <w:rPr>
          <w:spacing w:val="-2"/>
        </w:rPr>
        <w:t>nationally</w:t>
      </w:r>
      <w:r w:rsidRPr="00F33697">
        <w:rPr>
          <w:spacing w:val="-7"/>
        </w:rPr>
        <w:t xml:space="preserve"> </w:t>
      </w:r>
      <w:r w:rsidRPr="00F33697">
        <w:rPr>
          <w:spacing w:val="-2"/>
        </w:rPr>
        <w:t>consistent</w:t>
      </w:r>
      <w:r w:rsidRPr="00F33697">
        <w:rPr>
          <w:spacing w:val="-6"/>
        </w:rPr>
        <w:t xml:space="preserve"> </w:t>
      </w:r>
      <w:r w:rsidRPr="00F33697">
        <w:rPr>
          <w:spacing w:val="-2"/>
        </w:rPr>
        <w:t>reportable</w:t>
      </w:r>
      <w:r w:rsidRPr="00F33697">
        <w:rPr>
          <w:spacing w:val="-8"/>
        </w:rPr>
        <w:t xml:space="preserve"> </w:t>
      </w:r>
      <w:r w:rsidRPr="00F33697">
        <w:rPr>
          <w:spacing w:val="-2"/>
        </w:rPr>
        <w:t xml:space="preserve">conduct </w:t>
      </w:r>
      <w:r w:rsidRPr="00F33697">
        <w:t>schemes</w:t>
      </w:r>
      <w:r w:rsidRPr="00F33697">
        <w:rPr>
          <w:spacing w:val="-10"/>
        </w:rPr>
        <w:t xml:space="preserve"> </w:t>
      </w:r>
      <w:r w:rsidRPr="00F33697">
        <w:t>(RCS);</w:t>
      </w:r>
      <w:r w:rsidRPr="00F33697">
        <w:rPr>
          <w:spacing w:val="-8"/>
        </w:rPr>
        <w:t xml:space="preserve"> </w:t>
      </w:r>
      <w:r w:rsidRPr="00F33697">
        <w:t>and</w:t>
      </w:r>
      <w:r w:rsidRPr="00F33697">
        <w:rPr>
          <w:spacing w:val="-14"/>
        </w:rPr>
        <w:t xml:space="preserve"> </w:t>
      </w:r>
      <w:r w:rsidRPr="00F33697">
        <w:t>require</w:t>
      </w:r>
      <w:r w:rsidRPr="00F33697">
        <w:rPr>
          <w:spacing w:val="-12"/>
        </w:rPr>
        <w:t xml:space="preserve"> </w:t>
      </w:r>
      <w:r w:rsidRPr="00F33697">
        <w:t>organisations</w:t>
      </w:r>
      <w:r w:rsidRPr="00F33697">
        <w:rPr>
          <w:spacing w:val="-10"/>
        </w:rPr>
        <w:t xml:space="preserve"> </w:t>
      </w:r>
      <w:r w:rsidRPr="00F33697">
        <w:t>engaged</w:t>
      </w:r>
      <w:r w:rsidRPr="00F33697">
        <w:rPr>
          <w:spacing w:val="-8"/>
        </w:rPr>
        <w:t xml:space="preserve"> </w:t>
      </w:r>
      <w:r w:rsidRPr="00F33697">
        <w:t>in</w:t>
      </w:r>
      <w:r w:rsidRPr="00F33697">
        <w:rPr>
          <w:spacing w:val="-12"/>
        </w:rPr>
        <w:t xml:space="preserve"> </w:t>
      </w:r>
      <w:r w:rsidRPr="00F33697">
        <w:t>child-related</w:t>
      </w:r>
      <w:r w:rsidRPr="00F33697">
        <w:rPr>
          <w:spacing w:val="-10"/>
        </w:rPr>
        <w:t xml:space="preserve"> </w:t>
      </w:r>
      <w:r w:rsidRPr="00F33697">
        <w:t>work</w:t>
      </w:r>
      <w:r w:rsidRPr="00F33697">
        <w:rPr>
          <w:spacing w:val="-12"/>
        </w:rPr>
        <w:t xml:space="preserve"> </w:t>
      </w:r>
      <w:r w:rsidRPr="00F33697">
        <w:t>to</w:t>
      </w:r>
      <w:r w:rsidRPr="00F33697">
        <w:rPr>
          <w:spacing w:val="-10"/>
        </w:rPr>
        <w:t xml:space="preserve"> </w:t>
      </w:r>
      <w:r w:rsidRPr="00F33697">
        <w:t>comply</w:t>
      </w:r>
      <w:r w:rsidRPr="00F33697">
        <w:rPr>
          <w:spacing w:val="-10"/>
        </w:rPr>
        <w:t xml:space="preserve"> </w:t>
      </w:r>
      <w:r w:rsidRPr="00F33697">
        <w:t>with</w:t>
      </w:r>
      <w:r w:rsidRPr="00F33697">
        <w:rPr>
          <w:spacing w:val="-8"/>
        </w:rPr>
        <w:t xml:space="preserve"> </w:t>
      </w:r>
      <w:r w:rsidRPr="00F33697">
        <w:t>its</w:t>
      </w:r>
      <w:r w:rsidRPr="00F33697">
        <w:rPr>
          <w:spacing w:val="-10"/>
        </w:rPr>
        <w:t xml:space="preserve"> </w:t>
      </w:r>
      <w:r w:rsidRPr="00F33697">
        <w:t>10</w:t>
      </w:r>
      <w:r w:rsidRPr="00F33697">
        <w:rPr>
          <w:spacing w:val="-10"/>
        </w:rPr>
        <w:t xml:space="preserve"> </w:t>
      </w:r>
      <w:r w:rsidRPr="00F33697">
        <w:t xml:space="preserve">Child </w:t>
      </w:r>
      <w:r w:rsidRPr="00F33697">
        <w:rPr>
          <w:w w:val="105"/>
        </w:rPr>
        <w:t>Safe Standards (CSS).</w:t>
      </w:r>
    </w:p>
    <w:p w14:paraId="476A318C" w14:textId="77777777" w:rsidR="0044528B" w:rsidRPr="00F33697" w:rsidRDefault="00B24202" w:rsidP="002A5D69">
      <w:pPr>
        <w:pStyle w:val="ListParagraph"/>
        <w:numPr>
          <w:ilvl w:val="0"/>
          <w:numId w:val="1"/>
        </w:numPr>
        <w:tabs>
          <w:tab w:val="left" w:pos="426"/>
        </w:tabs>
        <w:spacing w:before="240"/>
        <w:ind w:left="431" w:right="45" w:hanging="431"/>
        <w:jc w:val="both"/>
        <w:rPr>
          <w:spacing w:val="-2"/>
          <w:w w:val="105"/>
        </w:rPr>
      </w:pPr>
      <w:r w:rsidRPr="00F33697">
        <w:rPr>
          <w:spacing w:val="-2"/>
          <w:w w:val="105"/>
        </w:rPr>
        <w:t>The Queensland Government has accepted, or accepted in principle, the majority of the Royal Commission recommendations for RCS and CSS. The Department of Children, Youth Justice and Multicultural Affairs (DCYJMA) (leading CSS) and the Department of Justice and Attorney-General (DJAG) (leading RCS) have been working closely to deliver options to support implementation of CSS and the establishment of a Queensland RCS.</w:t>
      </w:r>
    </w:p>
    <w:p w14:paraId="476A318E" w14:textId="77777777" w:rsidR="0044528B" w:rsidRPr="00F33697" w:rsidRDefault="00B24202" w:rsidP="002A5D69">
      <w:pPr>
        <w:pStyle w:val="ListParagraph"/>
        <w:numPr>
          <w:ilvl w:val="0"/>
          <w:numId w:val="1"/>
        </w:numPr>
        <w:tabs>
          <w:tab w:val="left" w:pos="426"/>
        </w:tabs>
        <w:spacing w:before="240"/>
        <w:ind w:left="431" w:right="45" w:hanging="431"/>
        <w:jc w:val="both"/>
        <w:rPr>
          <w:spacing w:val="-2"/>
          <w:w w:val="105"/>
        </w:rPr>
      </w:pPr>
      <w:r w:rsidRPr="00F33697">
        <w:rPr>
          <w:spacing w:val="-2"/>
          <w:w w:val="105"/>
        </w:rPr>
        <w:t>Targeted consultation about CSS and RCS was undertaken in 2021 with peak bodies and other representative organisations in sectors that may potentially fall in scope of any future CSS and/or RCS in Queensland.</w:t>
      </w:r>
    </w:p>
    <w:p w14:paraId="476A3190" w14:textId="77777777" w:rsidR="0044528B" w:rsidRPr="00F33697" w:rsidRDefault="00B24202" w:rsidP="002A5D69">
      <w:pPr>
        <w:pStyle w:val="ListParagraph"/>
        <w:numPr>
          <w:ilvl w:val="0"/>
          <w:numId w:val="1"/>
        </w:numPr>
        <w:tabs>
          <w:tab w:val="left" w:pos="426"/>
        </w:tabs>
        <w:spacing w:before="240"/>
        <w:ind w:left="431" w:right="45" w:hanging="431"/>
        <w:jc w:val="both"/>
      </w:pPr>
      <w:r w:rsidRPr="00F33697">
        <w:rPr>
          <w:spacing w:val="-2"/>
          <w:w w:val="105"/>
        </w:rPr>
        <w:t>Further consultation will be undertaken on the options developed for implementing the CSS and RCS in Queensland, including regulatory impact analysis through a Consultation Regulatory Impact State</w:t>
      </w:r>
      <w:r w:rsidRPr="00F33697">
        <w:rPr>
          <w:w w:val="105"/>
        </w:rPr>
        <w:t>ment (CRIS).</w:t>
      </w:r>
    </w:p>
    <w:p w14:paraId="2D92ABC2" w14:textId="7212460C" w:rsidR="00BB3EB6" w:rsidRPr="00F33697" w:rsidRDefault="00BB3EB6" w:rsidP="002A5D69">
      <w:pPr>
        <w:pStyle w:val="ListParagraph"/>
        <w:numPr>
          <w:ilvl w:val="0"/>
          <w:numId w:val="1"/>
        </w:numPr>
        <w:tabs>
          <w:tab w:val="left" w:pos="426"/>
        </w:tabs>
        <w:spacing w:before="240"/>
        <w:ind w:left="431" w:right="45" w:hanging="431"/>
        <w:jc w:val="both"/>
      </w:pPr>
      <w:r w:rsidRPr="00F33697">
        <w:rPr>
          <w:spacing w:val="-2"/>
          <w:w w:val="105"/>
        </w:rPr>
        <w:t>Cabinet</w:t>
      </w:r>
      <w:r w:rsidRPr="00F33697">
        <w:rPr>
          <w:u w:val="single"/>
        </w:rPr>
        <w:t xml:space="preserve"> approved</w:t>
      </w:r>
      <w:r w:rsidRPr="00F33697">
        <w:t xml:space="preserve"> the publication of a Consultation Regulatory Impact Statement.</w:t>
      </w:r>
    </w:p>
    <w:p w14:paraId="476A3192" w14:textId="5C38DB25" w:rsidR="0044528B" w:rsidRPr="00F33697" w:rsidRDefault="00B24202" w:rsidP="002A5D69">
      <w:pPr>
        <w:pStyle w:val="ListParagraph"/>
        <w:numPr>
          <w:ilvl w:val="0"/>
          <w:numId w:val="1"/>
        </w:numPr>
        <w:tabs>
          <w:tab w:val="left" w:pos="426"/>
        </w:tabs>
        <w:spacing w:before="240"/>
        <w:ind w:left="431" w:right="45" w:hanging="431"/>
        <w:jc w:val="both"/>
      </w:pPr>
      <w:r w:rsidRPr="00F33697">
        <w:rPr>
          <w:w w:val="105"/>
          <w:u w:val="single"/>
        </w:rPr>
        <w:t>Cabinet noted</w:t>
      </w:r>
      <w:r w:rsidRPr="00F33697">
        <w:rPr>
          <w:w w:val="105"/>
        </w:rPr>
        <w:t xml:space="preserve"> the results of targeted consultation conducted in 2021, </w:t>
      </w:r>
      <w:r w:rsidRPr="00F33697">
        <w:rPr>
          <w:i/>
          <w:w w:val="105"/>
        </w:rPr>
        <w:t xml:space="preserve">Growing Child Safe </w:t>
      </w:r>
      <w:r w:rsidRPr="00F33697">
        <w:rPr>
          <w:i/>
        </w:rPr>
        <w:t>Organisations</w:t>
      </w:r>
      <w:r w:rsidRPr="00F33697">
        <w:rPr>
          <w:i/>
          <w:spacing w:val="-14"/>
        </w:rPr>
        <w:t xml:space="preserve"> </w:t>
      </w:r>
      <w:r w:rsidRPr="00F33697">
        <w:rPr>
          <w:i/>
        </w:rPr>
        <w:t>in</w:t>
      </w:r>
      <w:r w:rsidRPr="00F33697">
        <w:rPr>
          <w:i/>
          <w:spacing w:val="-14"/>
        </w:rPr>
        <w:t xml:space="preserve"> </w:t>
      </w:r>
      <w:r w:rsidRPr="00F33697">
        <w:rPr>
          <w:i/>
        </w:rPr>
        <w:t>Queensland</w:t>
      </w:r>
      <w:r w:rsidRPr="00F33697">
        <w:t>,</w:t>
      </w:r>
      <w:r w:rsidRPr="00F33697">
        <w:rPr>
          <w:spacing w:val="-14"/>
        </w:rPr>
        <w:t xml:space="preserve"> </w:t>
      </w:r>
      <w:r w:rsidRPr="00F33697">
        <w:t>be</w:t>
      </w:r>
      <w:r w:rsidRPr="00F33697">
        <w:rPr>
          <w:spacing w:val="-14"/>
        </w:rPr>
        <w:t xml:space="preserve"> </w:t>
      </w:r>
      <w:r w:rsidRPr="00F33697">
        <w:t>published.</w:t>
      </w:r>
    </w:p>
    <w:p w14:paraId="0FCFFEE6" w14:textId="2490131C" w:rsidR="00BB3EB6" w:rsidRPr="00F33697" w:rsidRDefault="00BB3EB6" w:rsidP="002A5D69">
      <w:pPr>
        <w:pStyle w:val="ListParagraph"/>
        <w:numPr>
          <w:ilvl w:val="0"/>
          <w:numId w:val="1"/>
        </w:numPr>
        <w:tabs>
          <w:tab w:val="left" w:pos="426"/>
          <w:tab w:val="left" w:pos="624"/>
        </w:tabs>
        <w:spacing w:before="360"/>
        <w:ind w:left="431" w:right="45" w:hanging="431"/>
        <w:jc w:val="both"/>
      </w:pPr>
      <w:r w:rsidRPr="00F33697">
        <w:rPr>
          <w:i/>
          <w:iCs/>
          <w:w w:val="105"/>
          <w:u w:val="single"/>
        </w:rPr>
        <w:t>Attachment</w:t>
      </w:r>
      <w:r w:rsidR="00A7377E" w:rsidRPr="00F33697">
        <w:rPr>
          <w:i/>
          <w:iCs/>
          <w:w w:val="105"/>
          <w:u w:val="single"/>
        </w:rPr>
        <w:t>s</w:t>
      </w:r>
      <w:r w:rsidRPr="00F33697">
        <w:rPr>
          <w:w w:val="105"/>
        </w:rPr>
        <w:t>:</w:t>
      </w:r>
    </w:p>
    <w:p w14:paraId="60D59CEB" w14:textId="3281A41A" w:rsidR="00BB3EB6" w:rsidRPr="00F33697" w:rsidRDefault="00F929F1" w:rsidP="002A5D69">
      <w:pPr>
        <w:pStyle w:val="ListParagraph"/>
        <w:numPr>
          <w:ilvl w:val="0"/>
          <w:numId w:val="2"/>
        </w:numPr>
        <w:spacing w:before="120" w:line="247" w:lineRule="auto"/>
        <w:ind w:right="45" w:hanging="289"/>
        <w:jc w:val="left"/>
        <w:rPr>
          <w:w w:val="105"/>
        </w:rPr>
      </w:pPr>
      <w:hyperlink r:id="rId10" w:history="1">
        <w:r w:rsidR="00BB3EB6" w:rsidRPr="00932AB5">
          <w:rPr>
            <w:rStyle w:val="Hyperlink"/>
            <w:w w:val="105"/>
          </w:rPr>
          <w:t>Consultation Regulatory Impact Statement</w:t>
        </w:r>
        <w:r w:rsidR="00A7377E" w:rsidRPr="00932AB5">
          <w:rPr>
            <w:rStyle w:val="Hyperlink"/>
            <w:w w:val="105"/>
          </w:rPr>
          <w:t xml:space="preserve"> – Growing Child Safe Organisations in Queensland</w:t>
        </w:r>
      </w:hyperlink>
    </w:p>
    <w:p w14:paraId="1C1D761B" w14:textId="4F7F3C97" w:rsidR="00BB3EB6" w:rsidRPr="00F33697" w:rsidRDefault="00F929F1" w:rsidP="002A5D69">
      <w:pPr>
        <w:pStyle w:val="ListParagraph"/>
        <w:numPr>
          <w:ilvl w:val="0"/>
          <w:numId w:val="2"/>
        </w:numPr>
        <w:spacing w:before="120" w:line="247" w:lineRule="auto"/>
        <w:ind w:right="45" w:hanging="289"/>
        <w:jc w:val="left"/>
      </w:pPr>
      <w:hyperlink r:id="rId11" w:history="1">
        <w:r w:rsidR="00A7377E" w:rsidRPr="00932AB5">
          <w:rPr>
            <w:rStyle w:val="Hyperlink"/>
            <w:w w:val="105"/>
          </w:rPr>
          <w:t>Consultation</w:t>
        </w:r>
        <w:r w:rsidR="00A7377E" w:rsidRPr="00932AB5">
          <w:rPr>
            <w:rStyle w:val="Hyperlink"/>
          </w:rPr>
          <w:t xml:space="preserve"> report – Growing Child Safe Organisations in Queensland: child safe standards and </w:t>
        </w:r>
        <w:r w:rsidR="00A7377E" w:rsidRPr="00932AB5">
          <w:rPr>
            <w:rStyle w:val="Hyperlink"/>
            <w:w w:val="105"/>
          </w:rPr>
          <w:t>reportable</w:t>
        </w:r>
        <w:r w:rsidR="00A7377E" w:rsidRPr="00932AB5">
          <w:rPr>
            <w:rStyle w:val="Hyperlink"/>
          </w:rPr>
          <w:t xml:space="preserve"> conduct scheme</w:t>
        </w:r>
      </w:hyperlink>
    </w:p>
    <w:sectPr w:rsidR="00BB3EB6" w:rsidRPr="00F33697" w:rsidSect="0054183F">
      <w:headerReference w:type="default" r:id="rId12"/>
      <w:pgSz w:w="12240" w:h="15840" w:code="1"/>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BCF45" w14:textId="77777777" w:rsidR="006E4B4A" w:rsidRDefault="006E4B4A" w:rsidP="00BB3EB6">
      <w:r>
        <w:separator/>
      </w:r>
    </w:p>
  </w:endnote>
  <w:endnote w:type="continuationSeparator" w:id="0">
    <w:p w14:paraId="38C1B77C" w14:textId="77777777" w:rsidR="006E4B4A" w:rsidRDefault="006E4B4A" w:rsidP="00BB3EB6">
      <w:r>
        <w:continuationSeparator/>
      </w:r>
    </w:p>
  </w:endnote>
  <w:endnote w:type="continuationNotice" w:id="1">
    <w:p w14:paraId="649901A2" w14:textId="77777777" w:rsidR="002A77B8" w:rsidRDefault="002A7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5941B" w14:textId="77777777" w:rsidR="006E4B4A" w:rsidRDefault="006E4B4A" w:rsidP="00BB3EB6">
      <w:r>
        <w:separator/>
      </w:r>
    </w:p>
  </w:footnote>
  <w:footnote w:type="continuationSeparator" w:id="0">
    <w:p w14:paraId="1F79DEFF" w14:textId="77777777" w:rsidR="006E4B4A" w:rsidRDefault="006E4B4A" w:rsidP="00BB3EB6">
      <w:r>
        <w:continuationSeparator/>
      </w:r>
    </w:p>
  </w:footnote>
  <w:footnote w:type="continuationNotice" w:id="1">
    <w:p w14:paraId="5AEA0AF1" w14:textId="77777777" w:rsidR="002A77B8" w:rsidRDefault="002A7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7F8E" w14:textId="77777777" w:rsidR="00BB3EB6" w:rsidRPr="00937A4A" w:rsidRDefault="00BB3EB6" w:rsidP="00BB3EB6">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sidRPr="00937A4A">
      <w:rPr>
        <w:b/>
        <w:sz w:val="28"/>
      </w:rPr>
      <w:t>Queensland Government</w:t>
    </w:r>
  </w:p>
  <w:p w14:paraId="58336D56" w14:textId="77777777" w:rsidR="00BB3EB6" w:rsidRPr="00937A4A" w:rsidRDefault="00BB3EB6" w:rsidP="00BB3EB6">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47F654BB" w14:textId="2A086B70" w:rsidR="00BB3EB6" w:rsidRPr="00937A4A" w:rsidRDefault="00BB3EB6" w:rsidP="00BB3EB6">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March 2023</w:t>
    </w:r>
  </w:p>
  <w:p w14:paraId="501D77A1" w14:textId="002960A7" w:rsidR="00BB3EB6" w:rsidRDefault="00BB3EB6" w:rsidP="00BB3EB6">
    <w:pPr>
      <w:pStyle w:val="Header"/>
      <w:spacing w:before="120"/>
      <w:rPr>
        <w:b/>
        <w:u w:val="single"/>
      </w:rPr>
    </w:pPr>
    <w:r>
      <w:rPr>
        <w:b/>
        <w:u w:val="single"/>
      </w:rPr>
      <w:t>Child Safe Standards and Reportable Conduct Scheme for Queensland</w:t>
    </w:r>
  </w:p>
  <w:p w14:paraId="15833255" w14:textId="3580238C" w:rsidR="00BB3EB6" w:rsidRDefault="00BB3EB6" w:rsidP="00BB3EB6">
    <w:pPr>
      <w:pStyle w:val="Header"/>
      <w:spacing w:before="120"/>
      <w:rPr>
        <w:b/>
        <w:u w:val="single"/>
      </w:rPr>
    </w:pPr>
    <w:r>
      <w:rPr>
        <w:b/>
        <w:u w:val="single"/>
      </w:rPr>
      <w:t>Minister for Children and Youth Justice and Minister for Multicultural Affairs</w:t>
    </w:r>
  </w:p>
  <w:p w14:paraId="0FE0755F" w14:textId="3E8A3E9F" w:rsidR="00BB3EB6" w:rsidRDefault="00BB3EB6" w:rsidP="00BB3EB6">
    <w:pPr>
      <w:pStyle w:val="Header"/>
      <w:spacing w:before="120"/>
      <w:rPr>
        <w:b/>
        <w:u w:val="single"/>
      </w:rPr>
    </w:pPr>
    <w:r>
      <w:rPr>
        <w:b/>
        <w:u w:val="single"/>
      </w:rPr>
      <w:t>Attorney-General and Minister for Justice, Minister for Women and Minister for the Prevention of Domestic and Family Violence</w:t>
    </w:r>
  </w:p>
  <w:p w14:paraId="652EAE5C" w14:textId="77777777" w:rsidR="00BB3EB6" w:rsidRDefault="00BB3EB6" w:rsidP="00BB3EB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21884"/>
    <w:multiLevelType w:val="hybridMultilevel"/>
    <w:tmpl w:val="9056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F40066"/>
    <w:multiLevelType w:val="hybridMultilevel"/>
    <w:tmpl w:val="049AD26E"/>
    <w:lvl w:ilvl="0" w:tplc="45BE2126">
      <w:start w:val="1"/>
      <w:numFmt w:val="decimal"/>
      <w:lvlText w:val="%1."/>
      <w:lvlJc w:val="left"/>
      <w:pPr>
        <w:ind w:left="562" w:hanging="338"/>
        <w:jc w:val="left"/>
      </w:pPr>
      <w:rPr>
        <w:rFonts w:ascii="Arial" w:eastAsia="Arial" w:hAnsi="Arial" w:cs="Arial" w:hint="default"/>
        <w:b w:val="0"/>
        <w:bCs w:val="0"/>
        <w:i w:val="0"/>
        <w:iCs w:val="0"/>
        <w:spacing w:val="-4"/>
        <w:w w:val="103"/>
        <w:sz w:val="20"/>
        <w:szCs w:val="20"/>
        <w:lang w:val="en-US" w:eastAsia="en-US" w:bidi="ar-SA"/>
      </w:rPr>
    </w:lvl>
    <w:lvl w:ilvl="1" w:tplc="1466E280">
      <w:numFmt w:val="bullet"/>
      <w:lvlText w:val="•"/>
      <w:lvlJc w:val="left"/>
      <w:pPr>
        <w:ind w:left="1454" w:hanging="338"/>
      </w:pPr>
      <w:rPr>
        <w:rFonts w:hint="default"/>
        <w:lang w:val="en-US" w:eastAsia="en-US" w:bidi="ar-SA"/>
      </w:rPr>
    </w:lvl>
    <w:lvl w:ilvl="2" w:tplc="DB3409B2">
      <w:numFmt w:val="bullet"/>
      <w:lvlText w:val="•"/>
      <w:lvlJc w:val="left"/>
      <w:pPr>
        <w:ind w:left="2348" w:hanging="338"/>
      </w:pPr>
      <w:rPr>
        <w:rFonts w:hint="default"/>
        <w:lang w:val="en-US" w:eastAsia="en-US" w:bidi="ar-SA"/>
      </w:rPr>
    </w:lvl>
    <w:lvl w:ilvl="3" w:tplc="76981786">
      <w:numFmt w:val="bullet"/>
      <w:lvlText w:val="•"/>
      <w:lvlJc w:val="left"/>
      <w:pPr>
        <w:ind w:left="3242" w:hanging="338"/>
      </w:pPr>
      <w:rPr>
        <w:rFonts w:hint="default"/>
        <w:lang w:val="en-US" w:eastAsia="en-US" w:bidi="ar-SA"/>
      </w:rPr>
    </w:lvl>
    <w:lvl w:ilvl="4" w:tplc="EFDE9E66">
      <w:numFmt w:val="bullet"/>
      <w:lvlText w:val="•"/>
      <w:lvlJc w:val="left"/>
      <w:pPr>
        <w:ind w:left="4136" w:hanging="338"/>
      </w:pPr>
      <w:rPr>
        <w:rFonts w:hint="default"/>
        <w:lang w:val="en-US" w:eastAsia="en-US" w:bidi="ar-SA"/>
      </w:rPr>
    </w:lvl>
    <w:lvl w:ilvl="5" w:tplc="2CE25722">
      <w:numFmt w:val="bullet"/>
      <w:lvlText w:val="•"/>
      <w:lvlJc w:val="left"/>
      <w:pPr>
        <w:ind w:left="5030" w:hanging="338"/>
      </w:pPr>
      <w:rPr>
        <w:rFonts w:hint="default"/>
        <w:lang w:val="en-US" w:eastAsia="en-US" w:bidi="ar-SA"/>
      </w:rPr>
    </w:lvl>
    <w:lvl w:ilvl="6" w:tplc="4200516E">
      <w:numFmt w:val="bullet"/>
      <w:lvlText w:val="•"/>
      <w:lvlJc w:val="left"/>
      <w:pPr>
        <w:ind w:left="5924" w:hanging="338"/>
      </w:pPr>
      <w:rPr>
        <w:rFonts w:hint="default"/>
        <w:lang w:val="en-US" w:eastAsia="en-US" w:bidi="ar-SA"/>
      </w:rPr>
    </w:lvl>
    <w:lvl w:ilvl="7" w:tplc="5364B69C">
      <w:numFmt w:val="bullet"/>
      <w:lvlText w:val="•"/>
      <w:lvlJc w:val="left"/>
      <w:pPr>
        <w:ind w:left="6818" w:hanging="338"/>
      </w:pPr>
      <w:rPr>
        <w:rFonts w:hint="default"/>
        <w:lang w:val="en-US" w:eastAsia="en-US" w:bidi="ar-SA"/>
      </w:rPr>
    </w:lvl>
    <w:lvl w:ilvl="8" w:tplc="F22417CC">
      <w:numFmt w:val="bullet"/>
      <w:lvlText w:val="•"/>
      <w:lvlJc w:val="left"/>
      <w:pPr>
        <w:ind w:left="7712" w:hanging="338"/>
      </w:pPr>
      <w:rPr>
        <w:rFonts w:hint="default"/>
        <w:lang w:val="en-US" w:eastAsia="en-US" w:bidi="ar-SA"/>
      </w:rPr>
    </w:lvl>
  </w:abstractNum>
  <w:num w:numId="1" w16cid:durableId="811367663">
    <w:abstractNumId w:val="1"/>
  </w:num>
  <w:num w:numId="2" w16cid:durableId="130052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8B"/>
    <w:rsid w:val="00152E20"/>
    <w:rsid w:val="002A5D69"/>
    <w:rsid w:val="002A77B8"/>
    <w:rsid w:val="003E178E"/>
    <w:rsid w:val="0044528B"/>
    <w:rsid w:val="0054183F"/>
    <w:rsid w:val="005A3416"/>
    <w:rsid w:val="006B58DA"/>
    <w:rsid w:val="006E4B4A"/>
    <w:rsid w:val="00736551"/>
    <w:rsid w:val="00932AB5"/>
    <w:rsid w:val="0093312F"/>
    <w:rsid w:val="00A7377E"/>
    <w:rsid w:val="00B24202"/>
    <w:rsid w:val="00B95917"/>
    <w:rsid w:val="00BB3EB6"/>
    <w:rsid w:val="00CA06DC"/>
    <w:rsid w:val="00F33697"/>
    <w:rsid w:val="00F929F1"/>
    <w:rsid w:val="00FD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71" w:right="151"/>
      <w:jc w:val="center"/>
    </w:pPr>
    <w:rPr>
      <w:b/>
      <w:bCs/>
      <w:sz w:val="52"/>
      <w:szCs w:val="52"/>
    </w:rPr>
  </w:style>
  <w:style w:type="paragraph" w:styleId="ListParagraph">
    <w:name w:val="List Paragraph"/>
    <w:basedOn w:val="Normal"/>
    <w:uiPriority w:val="1"/>
    <w:qFormat/>
    <w:pPr>
      <w:ind w:left="562" w:right="216" w:hanging="33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3EB6"/>
    <w:pPr>
      <w:tabs>
        <w:tab w:val="center" w:pos="4680"/>
        <w:tab w:val="right" w:pos="9360"/>
      </w:tabs>
    </w:pPr>
  </w:style>
  <w:style w:type="character" w:customStyle="1" w:styleId="HeaderChar">
    <w:name w:val="Header Char"/>
    <w:basedOn w:val="DefaultParagraphFont"/>
    <w:link w:val="Header"/>
    <w:uiPriority w:val="99"/>
    <w:rsid w:val="00BB3EB6"/>
    <w:rPr>
      <w:rFonts w:ascii="Arial" w:eastAsia="Arial" w:hAnsi="Arial" w:cs="Arial"/>
    </w:rPr>
  </w:style>
  <w:style w:type="paragraph" w:styleId="Footer">
    <w:name w:val="footer"/>
    <w:basedOn w:val="Normal"/>
    <w:link w:val="FooterChar"/>
    <w:uiPriority w:val="99"/>
    <w:unhideWhenUsed/>
    <w:rsid w:val="00BB3EB6"/>
    <w:pPr>
      <w:tabs>
        <w:tab w:val="center" w:pos="4680"/>
        <w:tab w:val="right" w:pos="9360"/>
      </w:tabs>
    </w:pPr>
  </w:style>
  <w:style w:type="character" w:customStyle="1" w:styleId="FooterChar">
    <w:name w:val="Footer Char"/>
    <w:basedOn w:val="DefaultParagraphFont"/>
    <w:link w:val="Footer"/>
    <w:uiPriority w:val="99"/>
    <w:rsid w:val="00BB3EB6"/>
    <w:rPr>
      <w:rFonts w:ascii="Arial" w:eastAsia="Arial" w:hAnsi="Arial" w:cs="Arial"/>
    </w:rPr>
  </w:style>
  <w:style w:type="paragraph" w:styleId="Revision">
    <w:name w:val="Revision"/>
    <w:hidden/>
    <w:uiPriority w:val="99"/>
    <w:semiHidden/>
    <w:rsid w:val="00BB3EB6"/>
    <w:pPr>
      <w:widowControl/>
      <w:autoSpaceDE/>
      <w:autoSpaceDN/>
    </w:pPr>
    <w:rPr>
      <w:rFonts w:ascii="Arial" w:eastAsia="Arial" w:hAnsi="Arial" w:cs="Arial"/>
    </w:rPr>
  </w:style>
  <w:style w:type="character" w:styleId="Hyperlink">
    <w:name w:val="Hyperlink"/>
    <w:basedOn w:val="DefaultParagraphFont"/>
    <w:uiPriority w:val="99"/>
    <w:unhideWhenUsed/>
    <w:rsid w:val="00932AB5"/>
    <w:rPr>
      <w:color w:val="0000FF" w:themeColor="hyperlink"/>
      <w:u w:val="single"/>
    </w:rPr>
  </w:style>
  <w:style w:type="character" w:styleId="UnresolvedMention">
    <w:name w:val="Unresolved Mention"/>
    <w:basedOn w:val="DefaultParagraphFont"/>
    <w:uiPriority w:val="99"/>
    <w:semiHidden/>
    <w:unhideWhenUsed/>
    <w:rsid w:val="00932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cqld.sharepoint.com/sites/DPC-CABINETSERVICES/Shared%20Documents/General/Proactive%20Release/ToBeProcessed/2023/Mar/ChildSafe/Attachments/Report.pdf" TargetMode="External"/><Relationship Id="rId5" Type="http://schemas.openxmlformats.org/officeDocument/2006/relationships/styles" Target="styles.xml"/><Relationship Id="rId10" Type="http://schemas.openxmlformats.org/officeDocument/2006/relationships/hyperlink" Target="https://dpcqld.sharepoint.com/sites/DPC-CABINETSERVICES/Shared%20Documents/General/Proactive%20Release/ToBeProcessed/2023/Mar/ChildSafe/Attachments/CRI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4D296-B8BE-4935-9567-E20C725186CB}">
  <ds:schemaRefs>
    <ds:schemaRef ds:uri="http://schemas.microsoft.com/sharepoint/v3/contenttype/forms"/>
  </ds:schemaRefs>
</ds:datastoreItem>
</file>

<file path=customXml/itemProps2.xml><?xml version="1.0" encoding="utf-8"?>
<ds:datastoreItem xmlns:ds="http://schemas.openxmlformats.org/officeDocument/2006/customXml" ds:itemID="{A15741E4-AA25-47B5-AB54-13290E3E560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e311de-a790-43ff-be63-577c26c7507c"/>
    <ds:schemaRef ds:uri="http://purl.org/dc/terms/"/>
    <ds:schemaRef ds:uri="b8ed82f2-f7bd-423c-8698-5e132afe9245"/>
    <ds:schemaRef ds:uri="http://www.w3.org/XML/1998/namespace"/>
    <ds:schemaRef ds:uri="http://purl.org/dc/dcmitype/"/>
  </ds:schemaRefs>
</ds:datastoreItem>
</file>

<file path=customXml/itemProps3.xml><?xml version="1.0" encoding="utf-8"?>
<ds:datastoreItem xmlns:ds="http://schemas.openxmlformats.org/officeDocument/2006/customXml" ds:itemID="{653A0389-FEE6-49C3-8D0B-8AD068FB9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224</Words>
  <Characters>1383</Characters>
  <Application>Microsoft Office Word</Application>
  <DocSecurity>0</DocSecurity>
  <Lines>23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Base>https://www.cabinet.qld.gov.au/documents/2023/Mar/ChildSafe/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8</cp:revision>
  <dcterms:created xsi:type="dcterms:W3CDTF">2023-11-03T05:23:00Z</dcterms:created>
  <dcterms:modified xsi:type="dcterms:W3CDTF">2024-09-17T01:19:00Z</dcterms:modified>
  <cp:category>Child_Safety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LastSaved">
    <vt:filetime>2023-03-01T00:00:00Z</vt:filetime>
  </property>
  <property fmtid="{D5CDD505-2E9C-101B-9397-08002B2CF9AE}" pid="4" name="Producer">
    <vt:lpwstr>Microsoft: Print To PDF</vt:lpwstr>
  </property>
  <property fmtid="{D5CDD505-2E9C-101B-9397-08002B2CF9AE}" pid="5" name="ContentTypeId">
    <vt:lpwstr>0x010100DDE14CFDD070B24F85F5DE43654FF01E</vt:lpwstr>
  </property>
  <property fmtid="{D5CDD505-2E9C-101B-9397-08002B2CF9AE}" pid="6" name="MediaServiceImageTags">
    <vt:lpwstr/>
  </property>
</Properties>
</file>